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82C5" w14:textId="77777777" w:rsidR="00C47E42" w:rsidRDefault="00C47E42">
      <w:pPr>
        <w:spacing w:before="400" w:after="80"/>
      </w:pPr>
    </w:p>
    <w:p w14:paraId="55A4C3D0" w14:textId="77777777" w:rsidR="00C47E42" w:rsidRDefault="00000000">
      <w:pPr>
        <w:spacing w:after="40"/>
      </w:pPr>
      <w:r>
        <w:rPr>
          <w:b/>
          <w:bCs/>
          <w:color w:val="001437"/>
          <w:sz w:val="40"/>
          <w:szCs w:val="40"/>
        </w:rPr>
        <w:t>Business case</w:t>
      </w:r>
    </w:p>
    <w:p w14:paraId="2CF8F355" w14:textId="77777777" w:rsidR="00C47E42" w:rsidRDefault="00000000">
      <w:pPr>
        <w:spacing w:after="20"/>
      </w:pPr>
      <w:r>
        <w:rPr>
          <w:b/>
          <w:bCs/>
          <w:color w:val="00A4E6"/>
          <w:sz w:val="40"/>
          <w:szCs w:val="40"/>
        </w:rPr>
        <w:t>Mindset Over Method</w:t>
      </w:r>
    </w:p>
    <w:p w14:paraId="659BC584" w14:textId="77777777" w:rsidR="00C47E42" w:rsidRDefault="00000000">
      <w:pPr>
        <w:spacing w:after="280"/>
      </w:pPr>
      <w:r>
        <w:rPr>
          <w:i/>
          <w:iCs/>
          <w:color w:val="6B7280"/>
          <w:sz w:val="24"/>
          <w:szCs w:val="24"/>
        </w:rPr>
        <w:t>Cohort enrolment for [Team / Function / Organisation]</w:t>
      </w:r>
    </w:p>
    <w:p w14:paraId="23F5374A" w14:textId="77777777" w:rsidR="00C47E42" w:rsidRDefault="00C47E42">
      <w:pPr>
        <w:pBdr>
          <w:bottom w:val="single" w:sz="8" w:space="0" w:color="00A4E6"/>
        </w:pBdr>
        <w:spacing w:before="120" w:after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C47E42" w14:paraId="40D99DB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6DFA9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Prepared by</w:t>
            </w:r>
          </w:p>
        </w:tc>
        <w:tc>
          <w:tcPr>
            <w:tcW w:w="62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F1EB3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[Your name, role]</w:t>
            </w:r>
          </w:p>
        </w:tc>
      </w:tr>
      <w:tr w:rsidR="00C47E42" w14:paraId="685DF77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4ED91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Date</w:t>
            </w:r>
          </w:p>
        </w:tc>
        <w:tc>
          <w:tcPr>
            <w:tcW w:w="62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ABD53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[Date]</w:t>
            </w:r>
          </w:p>
        </w:tc>
      </w:tr>
      <w:tr w:rsidR="00C47E42" w14:paraId="3B1636C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C442F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Decision required from</w:t>
            </w:r>
          </w:p>
        </w:tc>
        <w:tc>
          <w:tcPr>
            <w:tcW w:w="62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0ADBE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[Approver name, role]</w:t>
            </w:r>
          </w:p>
        </w:tc>
      </w:tr>
    </w:tbl>
    <w:p w14:paraId="5E413C13" w14:textId="77777777" w:rsidR="00C47E42" w:rsidRDefault="00C47E42">
      <w:pPr>
        <w:spacing w:after="200"/>
      </w:pPr>
    </w:p>
    <w:p w14:paraId="07AA8A6F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1. Executive summary</w:t>
      </w:r>
    </w:p>
    <w:p w14:paraId="348D7C85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32EEDD00" w14:textId="77777777" w:rsidR="00C47E42" w:rsidRDefault="00000000">
      <w:pPr>
        <w:spacing w:after="160" w:line="360" w:lineRule="auto"/>
      </w:pPr>
      <w:r>
        <w:rPr>
          <w:i/>
          <w:iCs/>
          <w:color w:val="00A4E6"/>
        </w:rPr>
        <w:t>We are proposing [X] seats of Mindset Over Method, a 17-lesson leadership masterclass, for the [team / cohort / function]. Total investment: [$ amount] at the enterprise rate of $1,529 per seat. The course addresses [specific organisational problem — e.g., recurring operational inefficiency, post-training behaviour decay, decision-making inconsistency across the leadership group]. We expect the cohort effect — shared framework, shared vocabulary, shared accountability — to return value beyond the per-seat learning, within 90 days of rollout.</w:t>
      </w:r>
    </w:p>
    <w:p w14:paraId="10A104F2" w14:textId="77777777" w:rsidR="00C47E42" w:rsidRDefault="00000000">
      <w:pPr>
        <w:spacing w:after="160" w:line="360" w:lineRule="auto"/>
      </w:pPr>
      <w:r>
        <w:rPr>
          <w:i/>
          <w:iCs/>
          <w:color w:val="00A4E6"/>
        </w:rPr>
        <w:t>Decision required: approval to proceed at [$ amount] by [date].</w:t>
      </w:r>
    </w:p>
    <w:p w14:paraId="0C477762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2. The problem we’re addressing</w:t>
      </w:r>
    </w:p>
    <w:p w14:paraId="2CBB984F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33CEE0E6" w14:textId="77777777" w:rsidR="00C47E42" w:rsidRDefault="00000000">
      <w:pPr>
        <w:spacing w:after="160" w:line="360" w:lineRule="auto"/>
      </w:pPr>
      <w:r>
        <w:rPr>
          <w:i/>
          <w:iCs/>
          <w:color w:val="00A4E6"/>
        </w:rPr>
        <w:t>[Describe the specific problem in your organisation. Be concrete. Use numbers where you have them. Examples of what to put here:]</w:t>
      </w:r>
    </w:p>
    <w:p w14:paraId="229694FF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Rework rate across [function] has been sitting at [%] for [period]</w:t>
      </w:r>
    </w:p>
    <w:p w14:paraId="05DED262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Exit interviews in the last [period] have cited [pattern] as a contributing factor</w:t>
      </w:r>
    </w:p>
    <w:p w14:paraId="5039A19D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[Recent project / initiative] failed to deliver expected outcomes because [pattern]</w:t>
      </w:r>
    </w:p>
    <w:p w14:paraId="4DF9DDB9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Previous leadership development investments ([specify]) produced short-term engagement but no sustained behavioural change</w:t>
      </w:r>
    </w:p>
    <w:p w14:paraId="05BBEC4F" w14:textId="77777777" w:rsidR="00C47E42" w:rsidRDefault="00000000">
      <w:pPr>
        <w:spacing w:before="120" w:after="160"/>
      </w:pPr>
      <w:r>
        <w:rPr>
          <w:i/>
          <w:iCs/>
          <w:color w:val="333333"/>
        </w:rPr>
        <w:t>The common thread: these problems aren’t caused by missing tools or methods. They’re caused by patterns in how our leaders think about the problems in front of them.</w:t>
      </w:r>
    </w:p>
    <w:p w14:paraId="15654DF8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3. The proposed solution</w:t>
      </w:r>
    </w:p>
    <w:p w14:paraId="6A6CF091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7055E3D5" w14:textId="77777777" w:rsidR="00C47E42" w:rsidRDefault="00000000">
      <w:pPr>
        <w:spacing w:after="160" w:line="360" w:lineRule="auto"/>
      </w:pPr>
      <w:r>
        <w:rPr>
          <w:color w:val="333333"/>
        </w:rPr>
        <w:lastRenderedPageBreak/>
        <w:t>Mindset Over Method is a self-paced video masterclass built on the premise that the quality of thinking determines the value of any method. Across 17 lessons in 4 modules, it gives leaders a coherent framework for:</w:t>
      </w:r>
    </w:p>
    <w:p w14:paraId="2A125792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Recognising the patterns of thinking that create recurring operational problems</w:t>
      </w:r>
    </w:p>
    <w:p w14:paraId="1CB632D0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Applying research from behavioural psychology, decision science, Lean methodology, and systems thinking to their own context</w:t>
      </w:r>
    </w:p>
    <w:p w14:paraId="14C826F0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Leading teams in a way that prevents problems, rather than reacts to them</w:t>
      </w:r>
    </w:p>
    <w:p w14:paraId="5D8A82B4" w14:textId="77777777" w:rsidR="00C47E42" w:rsidRDefault="00000000">
      <w:pPr>
        <w:spacing w:after="160" w:line="360" w:lineRule="auto"/>
      </w:pPr>
      <w:r>
        <w:rPr>
          <w:color w:val="333333"/>
        </w:rPr>
        <w:t>The course is not a reading list. It is the synthesis of research spanning multiple disciplines, sequenced and applied for operational leadership.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C47E42" w14:paraId="7E36621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5121A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Format</w:t>
            </w:r>
          </w:p>
        </w:tc>
        <w:tc>
          <w:tcPr>
            <w:tcW w:w="68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439B4" w14:textId="77777777" w:rsidR="00C47E42" w:rsidRDefault="00000000">
            <w:r>
              <w:rPr>
                <w:color w:val="333333"/>
                <w:sz w:val="20"/>
                <w:szCs w:val="20"/>
              </w:rPr>
              <w:t>Short, focused videos — most around 15 minutes. ~4 hours 45 minutes total</w:t>
            </w:r>
          </w:p>
        </w:tc>
      </w:tr>
      <w:tr w:rsidR="00C47E42" w14:paraId="6594656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DF2F0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Platform</w:t>
            </w:r>
          </w:p>
        </w:tc>
        <w:tc>
          <w:tcPr>
            <w:tcW w:w="68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D87ED" w14:textId="77777777" w:rsidR="00C47E42" w:rsidRDefault="00000000">
            <w:r>
              <w:rPr>
                <w:color w:val="333333"/>
                <w:sz w:val="20"/>
                <w:szCs w:val="20"/>
              </w:rPr>
              <w:t>Web-based (Kartra), accessible on any device</w:t>
            </w:r>
          </w:p>
        </w:tc>
      </w:tr>
      <w:tr w:rsidR="00C47E42" w14:paraId="66DC0EC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376F1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Included</w:t>
            </w:r>
          </w:p>
        </w:tc>
        <w:tc>
          <w:tcPr>
            <w:tcW w:w="68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6B073" w14:textId="77777777" w:rsidR="00C47E42" w:rsidRDefault="00000000">
            <w:r>
              <w:rPr>
                <w:color w:val="333333"/>
                <w:sz w:val="20"/>
                <w:szCs w:val="20"/>
              </w:rPr>
              <w:t>AI course assistant, downloadable tools, lifetime access including future updates</w:t>
            </w:r>
          </w:p>
        </w:tc>
      </w:tr>
    </w:tbl>
    <w:p w14:paraId="232F004B" w14:textId="77777777" w:rsidR="00C47E42" w:rsidRDefault="00C47E42">
      <w:pPr>
        <w:spacing w:after="100"/>
      </w:pPr>
    </w:p>
    <w:p w14:paraId="5D2B1297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4. Why a cohort (not individuals)</w:t>
      </w:r>
    </w:p>
    <w:p w14:paraId="5875006C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1B9E19B6" w14:textId="77777777" w:rsidR="00C47E42" w:rsidRDefault="00000000">
      <w:pPr>
        <w:spacing w:after="160" w:line="360" w:lineRule="auto"/>
      </w:pPr>
      <w:r>
        <w:rPr>
          <w:color w:val="333333"/>
        </w:rPr>
        <w:t>Individual learners change how they think. Cohorts change how decisions get made.</w:t>
      </w:r>
    </w:p>
    <w:p w14:paraId="1B4D12DE" w14:textId="77777777" w:rsidR="00C47E42" w:rsidRDefault="00000000">
      <w:pPr>
        <w:spacing w:after="160" w:line="360" w:lineRule="auto"/>
      </w:pPr>
      <w:r>
        <w:rPr>
          <w:color w:val="333333"/>
        </w:rPr>
        <w:t>When a leadership group works from the same framework, three compounding effects emerge:</w:t>
      </w:r>
    </w:p>
    <w:p w14:paraId="76D98784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Decision speed — a shared framework replaces debate with diagnosis</w:t>
      </w:r>
    </w:p>
    <w:p w14:paraId="1230CDFD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Meeting quality — shared vocabulary eliminates the “we’re not talking about the same thing” pattern that slows most meetings</w:t>
      </w:r>
    </w:p>
    <w:p w14:paraId="755B2046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Cultural durability — when the whole group has done the work, long-term thinking stops being one person’s unpopular position</w:t>
      </w:r>
    </w:p>
    <w:p w14:paraId="43F21491" w14:textId="77777777" w:rsidR="00C47E42" w:rsidRDefault="00000000">
      <w:r>
        <w:br w:type="page"/>
      </w:r>
    </w:p>
    <w:p w14:paraId="390BD153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lastRenderedPageBreak/>
        <w:t>5. Investment and return</w:t>
      </w:r>
    </w:p>
    <w:p w14:paraId="156A1E0B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230F4B03" w14:textId="77777777" w:rsidR="00C47E42" w:rsidRDefault="00000000">
      <w:pPr>
        <w:spacing w:before="80" w:after="120"/>
      </w:pPr>
      <w:r>
        <w:rPr>
          <w:b/>
          <w:bCs/>
          <w:color w:val="001437"/>
          <w:sz w:val="22"/>
          <w:szCs w:val="22"/>
        </w:rPr>
        <w:t>Investment</w:t>
      </w:r>
    </w:p>
    <w:p w14:paraId="1CBD82B7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[X] seats × $1,529 = [$ total]</w:t>
      </w:r>
    </w:p>
    <w:p w14:paraId="2D4C6B0B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Payment: upfront, before cohort access is activated</w:t>
      </w:r>
    </w:p>
    <w:p w14:paraId="67B34030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No ongoing subscription, no per-month renewal — lifetime access</w:t>
      </w:r>
    </w:p>
    <w:p w14:paraId="62B25E4E" w14:textId="77777777" w:rsidR="00C47E42" w:rsidRDefault="00000000">
      <w:pPr>
        <w:spacing w:before="200" w:after="120"/>
      </w:pPr>
      <w:r>
        <w:rPr>
          <w:b/>
          <w:bCs/>
          <w:color w:val="001437"/>
          <w:sz w:val="22"/>
          <w:szCs w:val="22"/>
        </w:rPr>
        <w:t>Return (indicative — customise to your context)</w:t>
      </w:r>
    </w:p>
    <w:p w14:paraId="6FD8D39D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Reduction in [specific recurring problem: rework, escalation rate, decision cycles, attrition]</w:t>
      </w:r>
    </w:p>
    <w:p w14:paraId="6C3B22D9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Improvement in [specific capability: cross-functional alignment, decision quality, operational discipline]</w:t>
      </w:r>
    </w:p>
    <w:p w14:paraId="33B4BF91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Shared leadership vocabulary across the cohort — measurable in retro and planning cadences</w:t>
      </w:r>
    </w:p>
    <w:p>
      <w:pPr>
        <w:spacing w:before="200" w:after="120"/>
      </w:pPr>
      <w:r>
        <w:rPr>
          <w:b/>
          <w:bCs/>
          <w:color w:val="001437"/>
          <w:sz w:val="22"/>
          <w:szCs w:val="22"/>
        </w:rPr>
        <w:t>The alternatives, priced</w:t>
      </w:r>
    </w:p>
    <w:p>
      <w:pPr>
        <w:spacing w:after="160" w:line="340" w:lineRule="auto"/>
      </w:pPr>
      <w:r>
        <w:rPr>
          <w:color w:val="333333"/>
        </w:rPr>
        <w:t xml:space="preserve">Every route to organisational improvement answers one question differently: who does the thinking? The market has priced each answer.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0"/>
        <w:gridCol w:w="2620"/>
        <w:gridCol w:w="1620"/>
        <w:gridCol w:w="2336"/>
      </w:tblGrid>
      <w:tr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001437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Who does the thinking</w:t>
            </w:r>
          </w:p>
        </w:tc>
        <w:tc>
          <w:tcPr>
            <w:tcW w:w="2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001437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Approach</w:t>
            </w:r>
          </w:p>
        </w:tc>
        <w:tc>
          <w:tcPr>
            <w:tcW w:w="1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001437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w="233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001437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Investment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They think for you</w:t>
            </w:r>
          </w:p>
        </w:tc>
        <w:tc>
          <w:tcPr>
            <w:tcW w:w="2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Large-scale consulting transformation</w:t>
            </w:r>
          </w:p>
        </w:tc>
        <w:tc>
          <w:tcPr>
            <w:tcW w:w="1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1–2 years</w:t>
            </w:r>
          </w:p>
        </w:tc>
        <w:tc>
          <w:tcPr>
            <w:tcW w:w="233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$2m–$20m+ per engagement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They think with you</w:t>
            </w:r>
          </w:p>
        </w:tc>
        <w:tc>
          <w:tcPr>
            <w:tcW w:w="2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Focused consulting engagement</w:t>
            </w:r>
          </w:p>
        </w:tc>
        <w:tc>
          <w:tcPr>
            <w:tcW w:w="1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6–18 months</w:t>
            </w:r>
          </w:p>
        </w:tc>
        <w:tc>
          <w:tcPr>
            <w:tcW w:w="233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$150k–$2m per engagement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They teach, you apply</w:t>
            </w:r>
          </w:p>
        </w:tc>
        <w:tc>
          <w:tcPr>
            <w:tcW w:w="2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Executive education</w:t>
            </w:r>
          </w:p>
        </w:tc>
        <w:tc>
          <w:tcPr>
            <w:tcW w:w="1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Weeks to months</w:t>
            </w:r>
          </w:p>
        </w:tc>
        <w:tc>
          <w:tcPr>
            <w:tcW w:w="233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$10k–$95k per leader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They guide, you develop</w:t>
            </w:r>
          </w:p>
        </w:tc>
        <w:tc>
          <w:tcPr>
            <w:tcW w:w="2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Executive coaching</w:t>
            </w:r>
          </w:p>
        </w:tc>
        <w:tc>
          <w:tcPr>
            <w:tcW w:w="1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6–12 months</w:t>
            </w:r>
          </w:p>
        </w:tc>
        <w:tc>
          <w:tcPr>
            <w:tcW w:w="233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color w:val="333333"/>
                <w:sz w:val="20"/>
                <w:szCs w:val="20"/>
              </w:rPr>
              <w:t xml:space="preserve">$5k–$30k per leader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9F5FC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You do the thinking</w:t>
            </w:r>
          </w:p>
        </w:tc>
        <w:tc>
          <w:tcPr>
            <w:tcW w:w="2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9F5FC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Mindset Over Method</w:t>
            </w:r>
          </w:p>
        </w:tc>
        <w:tc>
          <w:tcPr>
            <w:tcW w:w="162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9F5FC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Under 5 hours</w:t>
            </w:r>
          </w:p>
        </w:tc>
        <w:tc>
          <w:tcPr>
            <w:tcW w:w="233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9F5FC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b/>
                <w:bCs/>
                <w:color w:val="001437"/>
                <w:sz w:val="20"/>
                <w:szCs w:val="20"/>
              </w:rPr>
              <w:t xml:space="preserve">AUD $1,529 per leader (10+ seats)</w:t>
            </w:r>
          </w:p>
        </w:tc>
      </w:tr>
    </w:tbl>
    <w:p>
      <w:pPr>
        <w:spacing w:before="200" w:after="100" w:line="340" w:lineRule="auto"/>
      </w:pPr>
      <w:r>
        <w:rPr>
          <w:color w:val="333333"/>
        </w:rPr>
        <w:t xml:space="preserve">In McKinsey’s own global survey, only 12% of large-scale transformations sustained their gains beyond three years. Research from Harvard Business School identifies why: people learn new approaches, then return to systems that haven’t changed – and the system wins.</w:t>
      </w:r>
    </w:p>
    <w:p>
      <w:pPr>
        <w:spacing w:after="100" w:line="340" w:lineRule="auto"/>
      </w:pPr>
      <w:r>
        <w:rPr>
          <w:b/>
          <w:bCs/>
          <w:color w:val="001437"/>
        </w:rPr>
        <w:t xml:space="preserve">The first four rows rent capability. The last one builds it – and it stays with you.</w:t>
      </w:r>
    </w:p>
    <w:p>
      <w:pPr>
        <w:spacing w:after="100" w:line="340" w:lineRule="auto"/>
      </w:pPr>
      <w:r>
        <w:rPr>
          <w:color w:val="333333"/>
        </w:rPr>
        <w:t xml:space="preserve">Putting ten leaders through the course costs $15,290 – less than sending one leader to a flagship executive education programme.</w:t>
      </w:r>
    </w:p>
    <w:p>
      <w:pPr>
        <w:spacing w:before="120" w:after="40" w:line="340" w:lineRule="auto"/>
      </w:pPr>
      <w:r>
        <w:rPr>
          <w:color w:val="808080"/>
          <w:sz w:val="18"/>
          <w:szCs w:val="18"/>
        </w:rPr>
        <w:t xml:space="preserve">Market ranges are indicative, based on published US-market rates for comparable engagements and programmes. Australian-dollar equivalents are typically higher.</w:t>
      </w:r>
    </w:p>
    <w:p>
      <w:pPr>
        <w:spacing w:after="40" w:line="340" w:lineRule="auto"/>
      </w:pPr>
      <w:r>
        <w:rPr>
          <w:color w:val="808080"/>
          <w:sz w:val="18"/>
          <w:szCs w:val="18"/>
        </w:rPr>
        <w:t xml:space="preserve">Sources: McKinsey Global Implementation Survey 2022 (‘Large-scale transformations for long-term impact’, McKinsey &amp; Company); Beer, Finnström &amp; Schrader, ‘Why Leadership Training Fails – and What to Do About It’, Harvard Business Review, October 2016.</w:t>
      </w:r>
    </w:p>
    <w:p w14:paraId="2F921F00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6. Risks and how they’re addressed</w:t>
      </w:r>
    </w:p>
    <w:p w14:paraId="13BC223D" w14:textId="77777777" w:rsidR="00C47E42" w:rsidRDefault="00C47E42">
      <w:pPr>
        <w:pBdr>
          <w:bottom w:val="single" w:sz="2" w:space="0" w:color="D0D0D0"/>
        </w:pBd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0"/>
        <w:gridCol w:w="5416"/>
      </w:tblGrid>
      <w:tr w:rsidR="00C47E42" w14:paraId="760D5265" w14:textId="77777777">
        <w:tblPrEx>
          <w:tblCellMar>
            <w:top w:w="0" w:type="dxa"/>
            <w:bottom w:w="0" w:type="dxa"/>
          </w:tblCellMar>
        </w:tblPrEx>
        <w:tc>
          <w:tcPr>
            <w:tcW w:w="361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00143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A2C78" w14:textId="77777777" w:rsidR="00C47E42" w:rsidRDefault="00000000">
            <w:r>
              <w:rPr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541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00143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8B4CF" w14:textId="77777777" w:rsidR="00C47E42" w:rsidRDefault="00000000">
            <w:r>
              <w:rPr>
                <w:b/>
                <w:bCs/>
                <w:color w:val="FFFFFF"/>
                <w:sz w:val="20"/>
                <w:szCs w:val="20"/>
              </w:rPr>
              <w:t>Mitigation</w:t>
            </w:r>
          </w:p>
        </w:tc>
      </w:tr>
      <w:tr w:rsidR="00C47E42" w14:paraId="5E2C744F" w14:textId="77777777">
        <w:tblPrEx>
          <w:tblCellMar>
            <w:top w:w="0" w:type="dxa"/>
            <w:bottom w:w="0" w:type="dxa"/>
          </w:tblCellMar>
        </w:tblPrEx>
        <w:tc>
          <w:tcPr>
            <w:tcW w:w="361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EEDCA" w14:textId="77777777" w:rsidR="00C47E42" w:rsidRDefault="00000000">
            <w:r>
              <w:rPr>
                <w:b/>
                <w:bCs/>
                <w:color w:val="333333"/>
                <w:sz w:val="20"/>
                <w:szCs w:val="20"/>
              </w:rPr>
              <w:t>Training doesn’t translate to behaviour</w:t>
            </w:r>
          </w:p>
        </w:tc>
        <w:tc>
          <w:tcPr>
            <w:tcW w:w="541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55D63" w14:textId="77777777" w:rsidR="00C47E42" w:rsidRDefault="00000000">
            <w:r>
              <w:rPr>
                <w:color w:val="333333"/>
                <w:sz w:val="20"/>
                <w:szCs w:val="20"/>
              </w:rPr>
              <w:t>The course is built on the premise that behaviour follows thinking. Every lesson ends with a named tool and a specific application</w:t>
            </w:r>
          </w:p>
        </w:tc>
      </w:tr>
      <w:tr w:rsidR="00C47E42" w14:paraId="5F53BB75" w14:textId="77777777">
        <w:tblPrEx>
          <w:tblCellMar>
            <w:top w:w="0" w:type="dxa"/>
            <w:bottom w:w="0" w:type="dxa"/>
          </w:tblCellMar>
        </w:tblPrEx>
        <w:tc>
          <w:tcPr>
            <w:tcW w:w="361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6D044" w14:textId="77777777" w:rsidR="00C47E42" w:rsidRDefault="00000000">
            <w:r>
              <w:rPr>
                <w:b/>
                <w:bCs/>
                <w:color w:val="333333"/>
                <w:sz w:val="20"/>
                <w:szCs w:val="20"/>
              </w:rPr>
              <w:t>Participants don’t complete the programme</w:t>
            </w:r>
          </w:p>
        </w:tc>
        <w:tc>
          <w:tcPr>
            <w:tcW w:w="541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20AB2D" w14:textId="77777777" w:rsidR="00C47E42" w:rsidRDefault="00000000">
            <w:r>
              <w:rPr>
                <w:color w:val="333333"/>
                <w:sz w:val="20"/>
                <w:szCs w:val="20"/>
              </w:rPr>
              <w:t>Lifetime access means completion is not time-boxed. AI assistant provides on-demand support for stuck moments</w:t>
            </w:r>
          </w:p>
        </w:tc>
      </w:tr>
      <w:tr w:rsidR="00C47E42" w14:paraId="127B2B19" w14:textId="77777777">
        <w:tblPrEx>
          <w:tblCellMar>
            <w:top w:w="0" w:type="dxa"/>
            <w:bottom w:w="0" w:type="dxa"/>
          </w:tblCellMar>
        </w:tblPrEx>
        <w:tc>
          <w:tcPr>
            <w:tcW w:w="361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B56BD" w14:textId="77777777" w:rsidR="00C47E42" w:rsidRDefault="00000000">
            <w:r>
              <w:rPr>
                <w:b/>
                <w:bCs/>
                <w:color w:val="333333"/>
                <w:sz w:val="20"/>
                <w:szCs w:val="20"/>
              </w:rPr>
              <w:t>The content doesn’t match our specific context</w:t>
            </w:r>
          </w:p>
        </w:tc>
        <w:tc>
          <w:tcPr>
            <w:tcW w:w="541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B6555" w14:textId="77777777" w:rsidR="00C47E42" w:rsidRDefault="00000000">
            <w:r>
              <w:rPr>
                <w:color w:val="333333"/>
                <w:sz w:val="20"/>
                <w:szCs w:val="20"/>
              </w:rPr>
              <w:t>Universal principles, personal application. The AI assistant can help participants apply concepts to their specific situation</w:t>
            </w:r>
          </w:p>
        </w:tc>
      </w:tr>
      <w:tr w:rsidR="00C47E42" w14:paraId="5365B4BC" w14:textId="77777777">
        <w:tblPrEx>
          <w:tblCellMar>
            <w:top w:w="0" w:type="dxa"/>
            <w:bottom w:w="0" w:type="dxa"/>
          </w:tblCellMar>
        </w:tblPrEx>
        <w:tc>
          <w:tcPr>
            <w:tcW w:w="361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120EC" w14:textId="42C278FD" w:rsidR="00C47E42" w:rsidRDefault="00000000">
            <w:r>
              <w:rPr>
                <w:b/>
                <w:bCs/>
                <w:color w:val="333333"/>
                <w:sz w:val="20"/>
                <w:szCs w:val="20"/>
              </w:rPr>
              <w:t>We overinvest, under-realise</w:t>
            </w:r>
          </w:p>
        </w:tc>
        <w:tc>
          <w:tcPr>
            <w:tcW w:w="541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8B21B" w14:textId="77777777" w:rsidR="00C47E42" w:rsidRDefault="00000000">
            <w:r>
              <w:rPr>
                <w:color w:val="333333"/>
                <w:sz w:val="20"/>
                <w:szCs w:val="20"/>
              </w:rPr>
              <w:t>14-day money-back guarantee from contract activation. Organisation-level refund authority — the whole investment can be reversed if the programme doesn’t fit</w:t>
            </w:r>
          </w:p>
        </w:tc>
      </w:tr>
    </w:tbl>
    <w:p w14:paraId="7FD384F5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7. Timing</w:t>
      </w:r>
    </w:p>
    <w:p w14:paraId="70A0A416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5DC3CE36" w14:textId="77777777" w:rsidR="00C47E42" w:rsidRDefault="00000000">
      <w:pPr>
        <w:spacing w:before="80" w:after="120"/>
      </w:pPr>
      <w:r>
        <w:rPr>
          <w:b/>
          <w:bCs/>
          <w:color w:val="001437"/>
          <w:sz w:val="22"/>
          <w:szCs w:val="22"/>
        </w:rPr>
        <w:lastRenderedPageBreak/>
        <w:t>Why now</w:t>
      </w:r>
    </w:p>
    <w:p w14:paraId="3BCACEF3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[Insert your context — e.g., ahead of [project / restructure / FY planning cycle]; in response to [recent signal]; as part of [capability uplift initiative]]</w:t>
      </w:r>
    </w:p>
    <w:p w14:paraId="6E72183E" w14:textId="77777777" w:rsidR="00C47E42" w:rsidRDefault="00000000">
      <w:pPr>
        <w:pStyle w:val="ListParagraph"/>
        <w:numPr>
          <w:ilvl w:val="0"/>
          <w:numId w:val="2"/>
        </w:numPr>
        <w:spacing w:after="100" w:line="340" w:lineRule="auto"/>
      </w:pPr>
      <w:r>
        <w:rPr>
          <w:color w:val="333333"/>
        </w:rPr>
        <w:t>Delay cost: every quarter this isn’t in place is another quarter of [specific problem] compounding</w:t>
      </w:r>
    </w:p>
    <w:p w14:paraId="2A18E5CE" w14:textId="77777777" w:rsidR="00C47E42" w:rsidRDefault="00000000">
      <w:pPr>
        <w:spacing w:before="200" w:after="120"/>
      </w:pPr>
      <w:r>
        <w:rPr>
          <w:b/>
          <w:bCs/>
          <w:color w:val="001437"/>
          <w:sz w:val="22"/>
          <w:szCs w:val="22"/>
        </w:rPr>
        <w:t>Proposed timeline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426"/>
      </w:tblGrid>
      <w:tr w:rsidR="00C47E42" w14:paraId="1F4F14D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4DD3D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Decision by</w:t>
            </w:r>
          </w:p>
        </w:tc>
        <w:tc>
          <w:tcPr>
            <w:tcW w:w="54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838FD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[date]</w:t>
            </w:r>
          </w:p>
        </w:tc>
      </w:tr>
      <w:tr w:rsidR="00C47E42" w14:paraId="7039F3B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FF252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Contract activation</w:t>
            </w:r>
          </w:p>
        </w:tc>
        <w:tc>
          <w:tcPr>
            <w:tcW w:w="54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6008AF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[date]</w:t>
            </w:r>
          </w:p>
        </w:tc>
      </w:tr>
      <w:tr w:rsidR="00C47E42" w14:paraId="30668FB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6D07F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Cohort rollout begins</w:t>
            </w:r>
          </w:p>
        </w:tc>
        <w:tc>
          <w:tcPr>
            <w:tcW w:w="54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99A71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[date]</w:t>
            </w:r>
          </w:p>
        </w:tc>
      </w:tr>
      <w:tr w:rsidR="00C47E42" w14:paraId="58688D4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shd w:val="clear" w:color="auto" w:fill="EFE8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4D8FD" w14:textId="77777777" w:rsidR="00C47E42" w:rsidRDefault="00000000">
            <w:r>
              <w:rPr>
                <w:b/>
                <w:bCs/>
                <w:color w:val="001437"/>
                <w:sz w:val="20"/>
                <w:szCs w:val="20"/>
              </w:rPr>
              <w:t>Expected first measurable outcomes</w:t>
            </w:r>
          </w:p>
        </w:tc>
        <w:tc>
          <w:tcPr>
            <w:tcW w:w="5426" w:type="dxa"/>
            <w:tcBorders>
              <w:top w:val="single" w:sz="1" w:space="0" w:color="D0D0D0"/>
              <w:left w:val="single" w:sz="1" w:space="0" w:color="D0D0D0"/>
              <w:bottom w:val="single" w:sz="1" w:space="0" w:color="D0D0D0"/>
              <w:right w:val="single" w:sz="1" w:space="0" w:color="D0D0D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55CDD" w14:textId="77777777" w:rsidR="00C47E42" w:rsidRDefault="00000000">
            <w:r>
              <w:rPr>
                <w:i/>
                <w:iCs/>
                <w:color w:val="00A4E6"/>
                <w:sz w:val="20"/>
                <w:szCs w:val="20"/>
              </w:rPr>
              <w:t>[date — typically 60–90 days post-activation]</w:t>
            </w:r>
          </w:p>
        </w:tc>
      </w:tr>
    </w:tbl>
    <w:p w14:paraId="3E000A4C" w14:textId="77777777" w:rsidR="00C47E42" w:rsidRDefault="00000000">
      <w:pPr>
        <w:spacing w:before="360" w:after="200"/>
      </w:pPr>
      <w:r>
        <w:rPr>
          <w:b/>
          <w:bCs/>
          <w:color w:val="001437"/>
          <w:sz w:val="24"/>
          <w:szCs w:val="24"/>
        </w:rPr>
        <w:t>8. Next step</w:t>
      </w:r>
    </w:p>
    <w:p w14:paraId="2297DFFA" w14:textId="77777777" w:rsidR="00C47E42" w:rsidRDefault="00C47E42">
      <w:pPr>
        <w:pBdr>
          <w:bottom w:val="single" w:sz="2" w:space="0" w:color="D0D0D0"/>
        </w:pBdr>
        <w:spacing w:before="80" w:after="80"/>
      </w:pPr>
    </w:p>
    <w:p w14:paraId="37782F8B" w14:textId="77777777" w:rsidR="00C47E42" w:rsidRDefault="00000000">
      <w:pPr>
        <w:spacing w:after="160" w:line="360" w:lineRule="auto"/>
      </w:pPr>
      <w:r>
        <w:rPr>
          <w:i/>
          <w:iCs/>
          <w:color w:val="00A4E6"/>
        </w:rPr>
        <w:t>Approve [$ amount] for [X] seats.</w:t>
      </w:r>
    </w:p>
    <w:p w14:paraId="18C4CA67" w14:textId="77777777" w:rsidR="00C47E42" w:rsidRDefault="00000000">
      <w:pPr>
        <w:spacing w:after="160" w:line="360" w:lineRule="auto"/>
      </w:pPr>
      <w:r>
        <w:rPr>
          <w:color w:val="333333"/>
        </w:rPr>
        <w:t xml:space="preserve">To activate: purchase through the enterprise checkout under Pricing at </w:t>
      </w:r>
      <w:hyperlink r:id="rId9" w:history="1">
        <w:r>
          <w:rPr>
            <w:color w:val="00A4E6"/>
            <w:u w:val="single"/>
          </w:rPr>
          <w:t>dannyturano.com/teams</w:t>
        </w:r>
      </w:hyperlink>
      <w:r>
        <w:rPr>
          <w:color w:val="333333"/>
        </w:rPr>
        <w:t xml:space="preserve">. The checkout handles cohorts of 10 or more and records acceptance of the terms – contract and onboarding begin in one step.</w:t>
      </w:r>
    </w:p>
    <w:p w14:paraId="5095A244" w14:textId="77777777" w:rsidR="00C47E42" w:rsidRDefault="00000000">
      <w:pPr>
        <w:spacing w:after="160" w:line="360" w:lineRule="auto"/>
      </w:pPr>
      <w:r>
        <w:rPr>
          <w:color w:val="333333"/>
        </w:rPr>
        <w:t xml:space="preserve">If anything needs discussing first – cohort structure, rollout timing, invoicing – email </w:t>
      </w:r>
      <w:hyperlink r:id="rId8" w:history="1">
        <w:r>
          <w:rPr>
            <w:color w:val="00A4E6"/>
            <w:u w:val="single"/>
          </w:rPr>
          <w:t>danny@dannyturano.com</w:t>
        </w:r>
      </w:hyperlink>
      <w:r>
        <w:rPr>
          <w:color w:val="333333"/>
        </w:rPr>
        <w:t xml:space="preserve">. You’ll be dealing with Danny directly, not an account team.</w:t>
      </w:r>
    </w:p>
    <w:p w14:paraId="177EE42C" w14:textId="77777777" w:rsidR="00C47E42" w:rsidRDefault="00000000">
      <w:pPr>
        <w:spacing w:after="160" w:line="360" w:lineRule="auto"/>
      </w:pPr>
      <w:r>
        <w:rPr>
          <w:i/>
          <w:iCs/>
          <w:color w:val="333333"/>
        </w:rPr>
        <w:t>If you need more detail on any element of this case — curriculum breakdown, evidence base, creator background — all are available at dannyturano.com or on request.</w:t>
      </w:r>
    </w:p>
    <w:sectPr w:rsidR="00C47E42">
      <w:headerReference w:type="default" r:id="rId10"/>
      <w:footerReference w:type="default" r:id="rId11"/>
      <w:pgSz w:w="11906" w:h="16838"/>
      <w:pgMar w:top="1440" w:right="1440" w:bottom="12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0D02" w14:textId="77777777" w:rsidR="002F1C92" w:rsidRDefault="002F1C92">
      <w:r>
        <w:separator/>
      </w:r>
    </w:p>
  </w:endnote>
  <w:endnote w:type="continuationSeparator" w:id="0">
    <w:p w14:paraId="6582E22C" w14:textId="77777777" w:rsidR="002F1C92" w:rsidRDefault="002F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7DE3" w14:textId="77777777" w:rsidR="00C47E42" w:rsidRDefault="00000000">
    <w:pPr>
      <w:pBdr>
        <w:top w:val="single" w:sz="2" w:space="0" w:color="D0D0D0"/>
      </w:pBdr>
      <w:tabs>
        <w:tab w:val="right" w:pos="9026"/>
      </w:tabs>
      <w:spacing w:before="80"/>
    </w:pPr>
    <w:r>
      <w:rPr>
        <w:color w:val="6B7280"/>
        <w:sz w:val="16"/>
        <w:szCs w:val="16"/>
      </w:rPr>
      <w:t>The Effective Office  |  ABN 42 794 577 204</w:t>
    </w:r>
    <w:r>
      <w:tab/>
    </w:r>
    <w:r>
      <w:rPr>
        <w:color w:val="6B7280"/>
        <w:sz w:val="16"/>
        <w:szCs w:val="16"/>
      </w:rPr>
      <w:t xml:space="preserve">Page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 w:rsidR="00BD3B1C">
      <w:rPr>
        <w:noProof/>
        <w:color w:val="6B7280"/>
        <w:sz w:val="16"/>
        <w:szCs w:val="16"/>
      </w:rPr>
      <w:t>1</w:t>
    </w:r>
    <w:r>
      <w:rPr>
        <w:color w:val="6B72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7F240" w14:textId="77777777" w:rsidR="002F1C92" w:rsidRDefault="002F1C92">
      <w:r>
        <w:separator/>
      </w:r>
    </w:p>
  </w:footnote>
  <w:footnote w:type="continuationSeparator" w:id="0">
    <w:p w14:paraId="74677336" w14:textId="77777777" w:rsidR="002F1C92" w:rsidRDefault="002F1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4752" w14:textId="1C9E5D56" w:rsidR="00C47E42" w:rsidRDefault="00BD3B1C">
    <w:pPr>
      <w:pBdr>
        <w:bottom w:val="single" w:sz="4" w:space="0" w:color="00A4E6"/>
      </w:pBdr>
      <w:tabs>
        <w:tab w:val="right" w:pos="9026"/>
      </w:tabs>
    </w:pPr>
    <w:r>
      <w:rPr>
        <w:noProof/>
      </w:rPr>
      <w:drawing>
        <wp:inline distT="0" distB="0" distL="0" distR="0" wp14:anchorId="026F7B98" wp14:editId="2D5990A5">
          <wp:extent cx="512073" cy="438150"/>
          <wp:effectExtent l="0" t="0" r="2540" b="0"/>
          <wp:docPr id="1117188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188846" name="Picture 1117188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54" cy="442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tab/>
    </w:r>
    <w:r w:rsidR="00000000">
      <w:rPr>
        <w:b/>
        <w:bCs/>
        <w:color w:val="6B7280"/>
        <w:sz w:val="16"/>
        <w:szCs w:val="16"/>
      </w:rPr>
      <w:t>BUSINESS CASE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559C2"/>
    <w:multiLevelType w:val="hybridMultilevel"/>
    <w:tmpl w:val="4B9C2DCC"/>
    <w:lvl w:ilvl="0" w:tplc="5E1E3752">
      <w:start w:val="1"/>
      <w:numFmt w:val="bullet"/>
      <w:lvlText w:val="●"/>
      <w:lvlJc w:val="left"/>
      <w:pPr>
        <w:ind w:left="720" w:hanging="360"/>
      </w:pPr>
    </w:lvl>
    <w:lvl w:ilvl="1" w:tplc="CB8E99A2">
      <w:start w:val="1"/>
      <w:numFmt w:val="bullet"/>
      <w:lvlText w:val="○"/>
      <w:lvlJc w:val="left"/>
      <w:pPr>
        <w:ind w:left="1440" w:hanging="360"/>
      </w:pPr>
    </w:lvl>
    <w:lvl w:ilvl="2" w:tplc="4B22ACEC">
      <w:start w:val="1"/>
      <w:numFmt w:val="bullet"/>
      <w:lvlText w:val="■"/>
      <w:lvlJc w:val="left"/>
      <w:pPr>
        <w:ind w:left="2160" w:hanging="360"/>
      </w:pPr>
    </w:lvl>
    <w:lvl w:ilvl="3" w:tplc="6D70F3B2">
      <w:start w:val="1"/>
      <w:numFmt w:val="bullet"/>
      <w:lvlText w:val="●"/>
      <w:lvlJc w:val="left"/>
      <w:pPr>
        <w:ind w:left="2880" w:hanging="360"/>
      </w:pPr>
    </w:lvl>
    <w:lvl w:ilvl="4" w:tplc="780CE6A0">
      <w:start w:val="1"/>
      <w:numFmt w:val="bullet"/>
      <w:lvlText w:val="○"/>
      <w:lvlJc w:val="left"/>
      <w:pPr>
        <w:ind w:left="3600" w:hanging="360"/>
      </w:pPr>
    </w:lvl>
    <w:lvl w:ilvl="5" w:tplc="486AA27C">
      <w:start w:val="1"/>
      <w:numFmt w:val="bullet"/>
      <w:lvlText w:val="■"/>
      <w:lvlJc w:val="left"/>
      <w:pPr>
        <w:ind w:left="4320" w:hanging="360"/>
      </w:pPr>
    </w:lvl>
    <w:lvl w:ilvl="6" w:tplc="FBF213B8">
      <w:start w:val="1"/>
      <w:numFmt w:val="bullet"/>
      <w:lvlText w:val="●"/>
      <w:lvlJc w:val="left"/>
      <w:pPr>
        <w:ind w:left="5040" w:hanging="360"/>
      </w:pPr>
    </w:lvl>
    <w:lvl w:ilvl="7" w:tplc="FEEA2224">
      <w:start w:val="1"/>
      <w:numFmt w:val="bullet"/>
      <w:lvlText w:val="●"/>
      <w:lvlJc w:val="left"/>
      <w:pPr>
        <w:ind w:left="5760" w:hanging="360"/>
      </w:pPr>
    </w:lvl>
    <w:lvl w:ilvl="8" w:tplc="00AABAD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CE82E50"/>
    <w:multiLevelType w:val="hybridMultilevel"/>
    <w:tmpl w:val="EAE0167A"/>
    <w:lvl w:ilvl="0" w:tplc="A5869442">
      <w:start w:val="1"/>
      <w:numFmt w:val="bullet"/>
      <w:lvlText w:val="•"/>
      <w:lvlJc w:val="left"/>
      <w:pPr>
        <w:ind w:left="720" w:hanging="360"/>
      </w:pPr>
    </w:lvl>
    <w:lvl w:ilvl="1" w:tplc="3728497C">
      <w:numFmt w:val="decimal"/>
      <w:lvlText w:val=""/>
      <w:lvlJc w:val="left"/>
    </w:lvl>
    <w:lvl w:ilvl="2" w:tplc="9B883132">
      <w:numFmt w:val="decimal"/>
      <w:lvlText w:val=""/>
      <w:lvlJc w:val="left"/>
    </w:lvl>
    <w:lvl w:ilvl="3" w:tplc="9894D16C">
      <w:numFmt w:val="decimal"/>
      <w:lvlText w:val=""/>
      <w:lvlJc w:val="left"/>
    </w:lvl>
    <w:lvl w:ilvl="4" w:tplc="B524D468">
      <w:numFmt w:val="decimal"/>
      <w:lvlText w:val=""/>
      <w:lvlJc w:val="left"/>
    </w:lvl>
    <w:lvl w:ilvl="5" w:tplc="2F6EFE54">
      <w:numFmt w:val="decimal"/>
      <w:lvlText w:val=""/>
      <w:lvlJc w:val="left"/>
    </w:lvl>
    <w:lvl w:ilvl="6" w:tplc="6AFC9E7E">
      <w:numFmt w:val="decimal"/>
      <w:lvlText w:val=""/>
      <w:lvlJc w:val="left"/>
    </w:lvl>
    <w:lvl w:ilvl="7" w:tplc="F8522B20">
      <w:numFmt w:val="decimal"/>
      <w:lvlText w:val=""/>
      <w:lvlJc w:val="left"/>
    </w:lvl>
    <w:lvl w:ilvl="8" w:tplc="BF7EF2CC">
      <w:numFmt w:val="decimal"/>
      <w:lvlText w:val=""/>
      <w:lvlJc w:val="left"/>
    </w:lvl>
  </w:abstractNum>
  <w:num w:numId="1" w16cid:durableId="813639549">
    <w:abstractNumId w:val="0"/>
    <w:lvlOverride w:ilvl="0">
      <w:startOverride w:val="1"/>
    </w:lvlOverride>
  </w:num>
  <w:num w:numId="2" w16cid:durableId="6484863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42"/>
    <w:rsid w:val="00074B82"/>
    <w:rsid w:val="002F1C92"/>
    <w:rsid w:val="00B76C14"/>
    <w:rsid w:val="00BD3B1C"/>
    <w:rsid w:val="00C4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FF488"/>
  <w15:docId w15:val="{931EE449-C197-4863-954B-E26FA036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3B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B1C"/>
  </w:style>
  <w:style w:type="paragraph" w:styleId="Footer">
    <w:name w:val="footer"/>
    <w:basedOn w:val="Normal"/>
    <w:link w:val="FooterChar"/>
    <w:uiPriority w:val="99"/>
    <w:unhideWhenUsed/>
    <w:rsid w:val="00BD3B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mailto:danny@dannyturan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nnyturano.com/tea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2437-E52D-476B-8557-6DFCDF17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Danny Turano</cp:lastModifiedBy>
  <cp:revision>3</cp:revision>
  <dcterms:created xsi:type="dcterms:W3CDTF">2026-04-28T03:24:00Z</dcterms:created>
  <dcterms:modified xsi:type="dcterms:W3CDTF">2026-04-28T03:25:00Z</dcterms:modified>
</cp:coreProperties>
</file>